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6" w:rsidRDefault="000E1E66">
      <w:r>
        <w:t xml:space="preserve">                                                                                                                                         ПРОЕКТ</w:t>
      </w:r>
    </w:p>
    <w:p w:rsidR="000E1E66" w:rsidRDefault="000E1E66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</w:t>
                  </w: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район»</w:t>
                  </w:r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Икейское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</w:t>
                  </w:r>
                  <w:proofErr w:type="spellEnd"/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 w:rsidP="00484933">
            <w:pPr>
              <w:pStyle w:val="a8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36"/>
              </w:rPr>
              <w:t>П О С Т А Н О В Л Е Н И 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CE589C">
            <w:pPr>
              <w:pStyle w:val="a8"/>
              <w:ind w:right="424"/>
              <w:jc w:val="center"/>
              <w:rPr>
                <w:i/>
              </w:rPr>
            </w:pPr>
            <w:proofErr w:type="gramStart"/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D1661E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</w:t>
            </w:r>
            <w:proofErr w:type="gramEnd"/>
            <w:r w:rsidR="00C45902" w:rsidRPr="000E1E66">
              <w:rPr>
                <w:b/>
                <w:i/>
                <w:spacing w:val="20"/>
                <w:sz w:val="28"/>
              </w:rPr>
              <w:t xml:space="preserve">  </w:t>
            </w:r>
            <w:r w:rsidR="00D1661E" w:rsidRPr="000E1E66">
              <w:rPr>
                <w:b/>
                <w:i/>
                <w:spacing w:val="20"/>
                <w:sz w:val="28"/>
              </w:rPr>
              <w:t>»_</w:t>
            </w:r>
            <w:r w:rsidR="0002515D" w:rsidRPr="000E1E66">
              <w:rPr>
                <w:b/>
                <w:i/>
                <w:spacing w:val="20"/>
                <w:sz w:val="28"/>
              </w:rPr>
              <w:t>___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   </w:t>
            </w:r>
            <w:r w:rsidR="00FD424A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1661E" w:rsidRPr="000E1E66">
              <w:rPr>
                <w:b/>
                <w:i/>
                <w:spacing w:val="20"/>
                <w:sz w:val="28"/>
              </w:rPr>
              <w:t>22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№_____ 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- </w:t>
            </w:r>
            <w:proofErr w:type="spellStart"/>
            <w:r w:rsidR="0002515D" w:rsidRPr="000E1E66">
              <w:rPr>
                <w:b/>
                <w:i/>
                <w:spacing w:val="20"/>
                <w:sz w:val="28"/>
              </w:rPr>
              <w:t>пг</w:t>
            </w:r>
            <w:proofErr w:type="spellEnd"/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0E1E66" w:rsidRDefault="00D1661E" w:rsidP="00D1661E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 w:rsidRPr="000E1E66">
              <w:rPr>
                <w:b/>
                <w:i/>
                <w:spacing w:val="20"/>
                <w:sz w:val="28"/>
              </w:rPr>
              <w:t xml:space="preserve">с. </w:t>
            </w:r>
            <w:proofErr w:type="spellStart"/>
            <w:r w:rsidRPr="000E1E66">
              <w:rPr>
                <w:b/>
                <w:i/>
                <w:spacing w:val="20"/>
                <w:sz w:val="28"/>
              </w:rPr>
              <w:t>Икей</w:t>
            </w:r>
            <w:proofErr w:type="spellEnd"/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ПВР на территории </w:t>
            </w:r>
            <w:proofErr w:type="spellStart"/>
            <w:r w:rsidR="00D1661E" w:rsidRPr="000E1E66">
              <w:rPr>
                <w:b/>
                <w:i/>
                <w:sz w:val="28"/>
                <w:szCs w:val="28"/>
              </w:rPr>
              <w:t>Икейского</w:t>
            </w:r>
            <w:proofErr w:type="spellEnd"/>
            <w:r w:rsidRPr="000E1E66">
              <w:rPr>
                <w:b/>
                <w:i/>
                <w:sz w:val="28"/>
                <w:szCs w:val="28"/>
              </w:rPr>
              <w:t xml:space="preserve"> муниципального района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 w:rsidR="00DA1902">
        <w:rPr>
          <w:sz w:val="28"/>
          <w:szCs w:val="28"/>
        </w:rPr>
        <w:t xml:space="preserve"> муниципального района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proofErr w:type="spellStart"/>
      <w:r w:rsidR="000F4F9E">
        <w:rPr>
          <w:color w:val="000000"/>
          <w:sz w:val="28"/>
          <w:szCs w:val="28"/>
        </w:rPr>
        <w:t>Икейского</w:t>
      </w:r>
      <w:proofErr w:type="spellEnd"/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 w:rsidR="00510249">
        <w:rPr>
          <w:sz w:val="28"/>
          <w:szCs w:val="28"/>
        </w:rPr>
        <w:t xml:space="preserve"> муниципального</w:t>
      </w:r>
      <w:r w:rsidR="000F4F9E">
        <w:rPr>
          <w:sz w:val="28"/>
          <w:szCs w:val="28"/>
        </w:rPr>
        <w:t xml:space="preserve"> образования</w:t>
      </w:r>
      <w:r w:rsidR="00510249" w:rsidRPr="00510249">
        <w:rPr>
          <w:sz w:val="28"/>
          <w:szCs w:val="28"/>
        </w:rPr>
        <w:t xml:space="preserve"> (далее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Default="00042E43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10249" w:rsidRPr="00510249">
        <w:rPr>
          <w:sz w:val="28"/>
          <w:szCs w:val="28"/>
        </w:rPr>
        <w:t>Утвердить Положение о пункте в</w:t>
      </w:r>
      <w:r w:rsidR="00DA3BFE">
        <w:rPr>
          <w:sz w:val="28"/>
          <w:szCs w:val="28"/>
        </w:rPr>
        <w:t xml:space="preserve">ременного </w:t>
      </w:r>
      <w:r w:rsidR="00510249">
        <w:rPr>
          <w:sz w:val="28"/>
          <w:szCs w:val="28"/>
        </w:rPr>
        <w:t xml:space="preserve">размещения населения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 w:rsidR="00510249">
        <w:rPr>
          <w:sz w:val="28"/>
          <w:szCs w:val="28"/>
        </w:rPr>
        <w:t xml:space="preserve"> муниципального </w:t>
      </w:r>
      <w:r w:rsidR="000F4F9E">
        <w:rPr>
          <w:sz w:val="28"/>
          <w:szCs w:val="28"/>
        </w:rPr>
        <w:t>образования</w:t>
      </w:r>
      <w:r w:rsidR="009A2538">
        <w:rPr>
          <w:sz w:val="28"/>
          <w:szCs w:val="28"/>
        </w:rPr>
        <w:t>,</w:t>
      </w:r>
      <w:r w:rsidR="00207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538">
        <w:rPr>
          <w:sz w:val="28"/>
          <w:szCs w:val="28"/>
        </w:rPr>
        <w:t xml:space="preserve">                        </w:t>
      </w:r>
      <w:r w:rsidR="00510249" w:rsidRPr="00510249">
        <w:rPr>
          <w:sz w:val="28"/>
          <w:szCs w:val="28"/>
        </w:rPr>
        <w:t>пострадавшего в чрезвычайных ситуациях, согласно приложению № 2</w:t>
      </w:r>
      <w:r w:rsidR="00637B61">
        <w:rPr>
          <w:sz w:val="28"/>
          <w:szCs w:val="28"/>
        </w:rPr>
        <w:t>.</w:t>
      </w:r>
    </w:p>
    <w:p w:rsidR="00C57817" w:rsidRDefault="00B92460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510249" w:rsidRPr="00510249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заведующему отделением </w:t>
      </w:r>
      <w:proofErr w:type="spellStart"/>
      <w:r>
        <w:rPr>
          <w:sz w:val="28"/>
          <w:szCs w:val="28"/>
        </w:rPr>
        <w:t>Икейской</w:t>
      </w:r>
      <w:proofErr w:type="spellEnd"/>
      <w:r>
        <w:rPr>
          <w:sz w:val="28"/>
          <w:szCs w:val="28"/>
        </w:rPr>
        <w:t xml:space="preserve"> участковой больницы</w:t>
      </w:r>
      <w:r w:rsidR="00510249" w:rsidRPr="00510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Журавкову</w:t>
      </w:r>
      <w:proofErr w:type="spellEnd"/>
      <w:r>
        <w:rPr>
          <w:sz w:val="28"/>
          <w:szCs w:val="28"/>
        </w:rPr>
        <w:t xml:space="preserve"> А.И.</w:t>
      </w:r>
      <w:r w:rsidR="005119A6">
        <w:rPr>
          <w:sz w:val="28"/>
          <w:szCs w:val="28"/>
        </w:rPr>
        <w:t xml:space="preserve"> </w:t>
      </w:r>
      <w:r w:rsidR="00510249" w:rsidRPr="00510249">
        <w:rPr>
          <w:sz w:val="28"/>
          <w:szCs w:val="28"/>
        </w:rPr>
        <w:t xml:space="preserve">закрепить медицинских работников </w:t>
      </w:r>
      <w:r w:rsidR="005119A6">
        <w:rPr>
          <w:sz w:val="28"/>
          <w:szCs w:val="28"/>
        </w:rPr>
        <w:t>за ПВР</w:t>
      </w:r>
      <w:r w:rsidR="00637B61">
        <w:rPr>
          <w:sz w:val="28"/>
          <w:szCs w:val="28"/>
        </w:rPr>
        <w:t>.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proofErr w:type="spellStart"/>
      <w:r w:rsidR="00EC4885">
        <w:rPr>
          <w:sz w:val="28"/>
          <w:szCs w:val="28"/>
        </w:rPr>
        <w:t>Тулунский</w:t>
      </w:r>
      <w:proofErr w:type="spellEnd"/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 xml:space="preserve">да «Незабудка» с. </w:t>
      </w:r>
      <w:proofErr w:type="spellStart"/>
      <w:r w:rsidR="009A2538">
        <w:rPr>
          <w:sz w:val="28"/>
          <w:szCs w:val="28"/>
        </w:rPr>
        <w:t>Икей</w:t>
      </w:r>
      <w:proofErr w:type="spellEnd"/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необходимое имущество для </w:t>
      </w:r>
      <w:proofErr w:type="gramStart"/>
      <w:r>
        <w:rPr>
          <w:sz w:val="28"/>
          <w:szCs w:val="28"/>
        </w:rPr>
        <w:t>оснащения  комнаты</w:t>
      </w:r>
      <w:proofErr w:type="gramEnd"/>
      <w:r>
        <w:rPr>
          <w:sz w:val="28"/>
          <w:szCs w:val="28"/>
        </w:rPr>
        <w:t xml:space="preserve">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EC4885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C411A">
        <w:rPr>
          <w:sz w:val="28"/>
          <w:szCs w:val="28"/>
        </w:rPr>
        <w:t xml:space="preserve">Специалисту администрации </w:t>
      </w:r>
      <w:proofErr w:type="spellStart"/>
      <w:r w:rsidR="00CC411A">
        <w:rPr>
          <w:sz w:val="28"/>
          <w:szCs w:val="28"/>
        </w:rPr>
        <w:t>Купцовой</w:t>
      </w:r>
      <w:proofErr w:type="spellEnd"/>
      <w:r w:rsidR="00CC411A">
        <w:rPr>
          <w:sz w:val="28"/>
          <w:szCs w:val="28"/>
        </w:rPr>
        <w:t xml:space="preserve"> Н.В.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0E1E66">
        <w:rPr>
          <w:sz w:val="28"/>
          <w:szCs w:val="28"/>
        </w:rPr>
        <w:t>Икейский</w:t>
      </w:r>
      <w:proofErr w:type="spellEnd"/>
      <w:r w:rsidR="000E1E6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E1E66">
        <w:rPr>
          <w:sz w:val="28"/>
          <w:szCs w:val="28"/>
        </w:rPr>
        <w:t>Икейского</w:t>
      </w:r>
      <w:proofErr w:type="spellEnd"/>
      <w:r w:rsidR="000E1E66">
        <w:rPr>
          <w:sz w:val="28"/>
          <w:szCs w:val="28"/>
        </w:rPr>
        <w:t xml:space="preserve"> 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bookmarkStart w:id="0" w:name="_GoBack"/>
      <w:bookmarkEnd w:id="0"/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207C04" w:rsidRDefault="00207C0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</w:p>
    <w:p w:rsidR="0002515D" w:rsidRDefault="00207C04">
      <w:pPr>
        <w:autoSpaceDE w:val="0"/>
        <w:jc w:val="both"/>
      </w:pPr>
      <w:r>
        <w:rPr>
          <w:sz w:val="28"/>
          <w:szCs w:val="28"/>
        </w:rPr>
        <w:t>сельского поселения                                                                      С.А. Мусаев</w:t>
      </w: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07C04" w:rsidRDefault="00207C04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D1661E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Икейского</w:t>
      </w:r>
      <w:proofErr w:type="spellEnd"/>
      <w:r w:rsidR="0002515D">
        <w:rPr>
          <w:sz w:val="28"/>
          <w:szCs w:val="28"/>
        </w:rPr>
        <w:t xml:space="preserve"> муниципального района</w:t>
      </w:r>
      <w:r w:rsidR="0002515D"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>№ 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</w:t>
      </w:r>
      <w:r w:rsidR="009B73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 w:rsidR="00D1661E"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10249">
        <w:rPr>
          <w:sz w:val="28"/>
          <w:szCs w:val="28"/>
        </w:rPr>
        <w:t xml:space="preserve"> района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956AC2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 xml:space="preserve">: Иркутская область, </w:t>
      </w:r>
      <w:proofErr w:type="spellStart"/>
      <w:r w:rsidR="00092C6A">
        <w:rPr>
          <w:sz w:val="28"/>
          <w:szCs w:val="28"/>
        </w:rPr>
        <w:t>Тулунский</w:t>
      </w:r>
      <w:proofErr w:type="spellEnd"/>
      <w:r w:rsidR="00092C6A">
        <w:rPr>
          <w:sz w:val="28"/>
          <w:szCs w:val="28"/>
        </w:rPr>
        <w:t xml:space="preserve"> район, </w:t>
      </w:r>
      <w:proofErr w:type="spellStart"/>
      <w:r w:rsidR="00092C6A">
        <w:rPr>
          <w:sz w:val="28"/>
          <w:szCs w:val="28"/>
        </w:rPr>
        <w:t>Икейское</w:t>
      </w:r>
      <w:proofErr w:type="spellEnd"/>
      <w:r w:rsidR="00092C6A">
        <w:rPr>
          <w:sz w:val="28"/>
          <w:szCs w:val="28"/>
        </w:rPr>
        <w:t xml:space="preserve"> сельское поселение, с. </w:t>
      </w:r>
      <w:proofErr w:type="spellStart"/>
      <w:r w:rsidR="00092C6A">
        <w:rPr>
          <w:sz w:val="28"/>
          <w:szCs w:val="28"/>
        </w:rPr>
        <w:t>Икей</w:t>
      </w:r>
      <w:proofErr w:type="spellEnd"/>
      <w:r w:rsidR="0057252E" w:rsidRPr="0057252E">
        <w:rPr>
          <w:sz w:val="28"/>
          <w:szCs w:val="28"/>
        </w:rPr>
        <w:t>, ул. Пионерская, 19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МКУК «КДЦ с. </w:t>
      </w:r>
      <w:proofErr w:type="spellStart"/>
      <w:r w:rsidR="0057252E" w:rsidRPr="0057252E">
        <w:rPr>
          <w:sz w:val="28"/>
          <w:szCs w:val="28"/>
        </w:rPr>
        <w:t>Икей</w:t>
      </w:r>
      <w:proofErr w:type="spellEnd"/>
      <w:r w:rsidR="0057252E" w:rsidRPr="0057252E">
        <w:rPr>
          <w:sz w:val="28"/>
          <w:szCs w:val="28"/>
        </w:rPr>
        <w:t>»</w:t>
      </w:r>
    </w:p>
    <w:p w:rsidR="0057252E" w:rsidRDefault="0057252E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2</w:t>
      </w:r>
      <w:r w:rsidR="0057252E">
        <w:rPr>
          <w:sz w:val="28"/>
          <w:szCs w:val="28"/>
        </w:rPr>
        <w:t xml:space="preserve">: Иркутская область, </w:t>
      </w:r>
      <w:proofErr w:type="spellStart"/>
      <w:r w:rsidR="0057252E">
        <w:rPr>
          <w:sz w:val="28"/>
          <w:szCs w:val="28"/>
        </w:rPr>
        <w:t>Тулунский</w:t>
      </w:r>
      <w:proofErr w:type="spellEnd"/>
      <w:r w:rsidR="0057252E">
        <w:rPr>
          <w:sz w:val="28"/>
          <w:szCs w:val="28"/>
        </w:rPr>
        <w:t xml:space="preserve"> район, </w:t>
      </w:r>
      <w:proofErr w:type="spellStart"/>
      <w:r w:rsidR="0057252E">
        <w:rPr>
          <w:sz w:val="28"/>
          <w:szCs w:val="28"/>
        </w:rPr>
        <w:t>Икейское</w:t>
      </w:r>
      <w:proofErr w:type="spellEnd"/>
      <w:r w:rsidR="0057252E">
        <w:rPr>
          <w:sz w:val="28"/>
          <w:szCs w:val="28"/>
        </w:rPr>
        <w:t xml:space="preserve"> сельское поселение, с. </w:t>
      </w:r>
      <w:proofErr w:type="spellStart"/>
      <w:r w:rsidR="0057252E">
        <w:rPr>
          <w:sz w:val="28"/>
          <w:szCs w:val="28"/>
        </w:rPr>
        <w:t>Икей</w:t>
      </w:r>
      <w:proofErr w:type="spellEnd"/>
      <w:r w:rsidR="0057252E" w:rsidRPr="0057252E">
        <w:rPr>
          <w:sz w:val="28"/>
          <w:szCs w:val="28"/>
        </w:rPr>
        <w:t>, пер. Пионерский, 9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>Здание МОУ «</w:t>
      </w:r>
      <w:proofErr w:type="spellStart"/>
      <w:r w:rsidR="0057252E" w:rsidRPr="0057252E">
        <w:rPr>
          <w:sz w:val="28"/>
          <w:szCs w:val="28"/>
        </w:rPr>
        <w:t>Икейская</w:t>
      </w:r>
      <w:proofErr w:type="spellEnd"/>
      <w:r w:rsidR="0057252E" w:rsidRPr="0057252E">
        <w:rPr>
          <w:sz w:val="28"/>
          <w:szCs w:val="28"/>
        </w:rPr>
        <w:t xml:space="preserve"> СОШ»</w:t>
      </w: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56AC2" w:rsidRDefault="00956AC2" w:rsidP="00956AC2">
      <w:pPr>
        <w:shd w:val="clear" w:color="auto" w:fill="FFFFFF"/>
        <w:jc w:val="right"/>
      </w:pPr>
      <w:r>
        <w:rPr>
          <w:spacing w:val="-1"/>
          <w:sz w:val="28"/>
          <w:szCs w:val="28"/>
        </w:rPr>
        <w:t xml:space="preserve">Приложение № 2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956AC2" w:rsidRDefault="00D1661E" w:rsidP="00956AC2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Икейского</w:t>
      </w:r>
      <w:proofErr w:type="spellEnd"/>
      <w:r w:rsidR="00956AC2">
        <w:rPr>
          <w:sz w:val="28"/>
          <w:szCs w:val="28"/>
        </w:rPr>
        <w:t xml:space="preserve"> муниципального района</w:t>
      </w:r>
      <w:r w:rsidR="00956AC2">
        <w:rPr>
          <w:sz w:val="28"/>
          <w:szCs w:val="28"/>
        </w:rPr>
        <w:br/>
      </w:r>
    </w:p>
    <w:p w:rsidR="00956AC2" w:rsidRDefault="009B73C8" w:rsidP="00956AC2">
      <w:pPr>
        <w:shd w:val="clear" w:color="auto" w:fill="FFFFFF"/>
        <w:jc w:val="right"/>
      </w:pPr>
      <w:r>
        <w:rPr>
          <w:sz w:val="28"/>
          <w:szCs w:val="28"/>
        </w:rPr>
        <w:t>№ 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 20</w:t>
      </w:r>
      <w:r w:rsidR="00207C0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proofErr w:type="gramStart"/>
      <w:r w:rsidRPr="00B855DD">
        <w:rPr>
          <w:rStyle w:val="af0"/>
          <w:b w:val="0"/>
          <w:sz w:val="28"/>
          <w:szCs w:val="28"/>
        </w:rPr>
        <w:t xml:space="preserve">обеспечение,   </w:t>
      </w:r>
      <w:proofErr w:type="gramEnd"/>
      <w:r w:rsidRPr="00B855DD">
        <w:rPr>
          <w:rStyle w:val="af0"/>
          <w:b w:val="0"/>
          <w:sz w:val="28"/>
          <w:szCs w:val="28"/>
        </w:rPr>
        <w:t>набор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proofErr w:type="gramStart"/>
      <w:r w:rsidRPr="00B855DD">
        <w:rPr>
          <w:rStyle w:val="af0"/>
          <w:b w:val="0"/>
          <w:sz w:val="28"/>
          <w:szCs w:val="28"/>
        </w:rPr>
        <w:t xml:space="preserve">формирования,   </w:t>
      </w:r>
      <w:proofErr w:type="gramEnd"/>
      <w:r w:rsidRPr="00B855DD">
        <w:rPr>
          <w:rStyle w:val="af0"/>
          <w:b w:val="0"/>
          <w:sz w:val="28"/>
          <w:szCs w:val="28"/>
        </w:rPr>
        <w:t>ос</w:t>
      </w:r>
      <w:r>
        <w:rPr>
          <w:rStyle w:val="af0"/>
          <w:b w:val="0"/>
          <w:sz w:val="28"/>
          <w:szCs w:val="28"/>
        </w:rPr>
        <w:t>уществляющие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lastRenderedPageBreak/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>ехнические средства, 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proofErr w:type="spellStart"/>
      <w:r w:rsidR="005B3F55">
        <w:rPr>
          <w:rStyle w:val="af0"/>
          <w:b w:val="0"/>
          <w:sz w:val="28"/>
          <w:szCs w:val="28"/>
        </w:rPr>
        <w:t>Тулунского</w:t>
      </w:r>
      <w:proofErr w:type="spellEnd"/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proofErr w:type="gramStart"/>
      <w:r>
        <w:rPr>
          <w:rStyle w:val="af0"/>
          <w:b w:val="0"/>
          <w:sz w:val="28"/>
          <w:szCs w:val="28"/>
        </w:rPr>
        <w:t xml:space="preserve">жизнеобеспечения:  </w:t>
      </w:r>
      <w:r w:rsidRPr="00B855DD">
        <w:rPr>
          <w:rStyle w:val="af0"/>
          <w:b w:val="0"/>
          <w:sz w:val="28"/>
          <w:szCs w:val="28"/>
        </w:rPr>
        <w:t>орга</w:t>
      </w:r>
      <w:r>
        <w:rPr>
          <w:rStyle w:val="af0"/>
          <w:b w:val="0"/>
          <w:sz w:val="28"/>
          <w:szCs w:val="28"/>
        </w:rPr>
        <w:t>низации</w:t>
      </w:r>
      <w:proofErr w:type="gramEnd"/>
      <w:r>
        <w:rPr>
          <w:rStyle w:val="af0"/>
          <w:b w:val="0"/>
          <w:sz w:val="28"/>
          <w:szCs w:val="28"/>
        </w:rPr>
        <w:t xml:space="preserve"> </w:t>
      </w:r>
      <w:r w:rsidRPr="00B855DD">
        <w:rPr>
          <w:rStyle w:val="af0"/>
          <w:b w:val="0"/>
          <w:sz w:val="28"/>
          <w:szCs w:val="28"/>
        </w:rPr>
        <w:t>питания,   вещевого   снабжения,   тепло-,   вод</w:t>
      </w:r>
      <w:r>
        <w:rPr>
          <w:rStyle w:val="af0"/>
          <w:b w:val="0"/>
          <w:sz w:val="28"/>
          <w:szCs w:val="28"/>
        </w:rPr>
        <w:t>оснабжения,   оказания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r w:rsidR="002A68EB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proofErr w:type="gramStart"/>
      <w:r w:rsidRPr="00B855DD">
        <w:rPr>
          <w:rStyle w:val="af0"/>
          <w:b w:val="0"/>
          <w:sz w:val="28"/>
          <w:szCs w:val="28"/>
        </w:rPr>
        <w:t>Подчиняется  председателю</w:t>
      </w:r>
      <w:proofErr w:type="gramEnd"/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proofErr w:type="spellStart"/>
      <w:r w:rsidR="00D1661E">
        <w:rPr>
          <w:rStyle w:val="af0"/>
          <w:b w:val="0"/>
          <w:sz w:val="28"/>
          <w:szCs w:val="28"/>
        </w:rPr>
        <w:t>Икейского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proofErr w:type="spellStart"/>
      <w:r w:rsidR="00D1661E">
        <w:rPr>
          <w:rStyle w:val="af0"/>
          <w:b w:val="0"/>
          <w:sz w:val="28"/>
          <w:szCs w:val="28"/>
        </w:rPr>
        <w:t>Икейского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proofErr w:type="gramStart"/>
      <w:r w:rsidR="00B855DD" w:rsidRPr="00B855DD">
        <w:rPr>
          <w:rStyle w:val="af0"/>
          <w:b w:val="0"/>
          <w:sz w:val="28"/>
          <w:szCs w:val="28"/>
        </w:rPr>
        <w:t>помещений,</w:t>
      </w:r>
      <w:r>
        <w:rPr>
          <w:rStyle w:val="af0"/>
          <w:b w:val="0"/>
          <w:sz w:val="28"/>
          <w:szCs w:val="28"/>
        </w:rPr>
        <w:t xml:space="preserve">   </w:t>
      </w:r>
      <w:proofErr w:type="gramEnd"/>
      <w:r>
        <w:rPr>
          <w:rStyle w:val="af0"/>
          <w:b w:val="0"/>
          <w:sz w:val="28"/>
          <w:szCs w:val="28"/>
        </w:rPr>
        <w:t xml:space="preserve">оборудования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proofErr w:type="gramStart"/>
      <w:r w:rsidR="00B855DD" w:rsidRPr="00B855DD">
        <w:rPr>
          <w:rStyle w:val="af0"/>
          <w:b w:val="0"/>
          <w:sz w:val="28"/>
          <w:szCs w:val="28"/>
        </w:rPr>
        <w:t>обеспечивать  участие</w:t>
      </w:r>
      <w:proofErr w:type="gramEnd"/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учениях  и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lastRenderedPageBreak/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proofErr w:type="gramStart"/>
      <w:r w:rsidRPr="00803789">
        <w:rPr>
          <w:rStyle w:val="af0"/>
          <w:b w:val="0"/>
          <w:sz w:val="28"/>
          <w:szCs w:val="28"/>
        </w:rPr>
        <w:t>группы  охраны</w:t>
      </w:r>
      <w:proofErr w:type="gramEnd"/>
      <w:r w:rsidRPr="00803789">
        <w:rPr>
          <w:rStyle w:val="af0"/>
          <w:b w:val="0"/>
          <w:sz w:val="28"/>
          <w:szCs w:val="28"/>
        </w:rPr>
        <w:t xml:space="preserve"> общественного   порядка,  к</w:t>
      </w:r>
      <w:r>
        <w:rPr>
          <w:rStyle w:val="af0"/>
          <w:b w:val="0"/>
          <w:sz w:val="28"/>
          <w:szCs w:val="28"/>
        </w:rPr>
        <w:t xml:space="preserve">оторый  подчиняется  начальнику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proofErr w:type="gramStart"/>
      <w:r>
        <w:rPr>
          <w:rStyle w:val="af0"/>
          <w:b w:val="0"/>
          <w:sz w:val="28"/>
          <w:szCs w:val="28"/>
        </w:rPr>
        <w:t xml:space="preserve">питания,   </w:t>
      </w:r>
      <w:proofErr w:type="gramEnd"/>
      <w:r>
        <w:rPr>
          <w:rStyle w:val="af0"/>
          <w:b w:val="0"/>
          <w:sz w:val="28"/>
          <w:szCs w:val="28"/>
        </w:rPr>
        <w:t>меди</w:t>
      </w:r>
      <w:r w:rsidRPr="002E50AD">
        <w:rPr>
          <w:rStyle w:val="af0"/>
          <w:b w:val="0"/>
          <w:sz w:val="28"/>
          <w:szCs w:val="28"/>
        </w:rPr>
        <w:t>цинских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2E50AD" w:rsidRPr="000408CF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p w:rsidR="00803789" w:rsidRPr="000408CF" w:rsidRDefault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6A" w:rsidRDefault="00AE336A">
      <w:r>
        <w:separator/>
      </w:r>
    </w:p>
  </w:endnote>
  <w:endnote w:type="continuationSeparator" w:id="0">
    <w:p w:rsidR="00AE336A" w:rsidRDefault="00AE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6A" w:rsidRDefault="00AE336A">
      <w:r>
        <w:separator/>
      </w:r>
    </w:p>
  </w:footnote>
  <w:footnote w:type="continuationSeparator" w:id="0">
    <w:p w:rsidR="00AE336A" w:rsidRDefault="00AE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408CF"/>
    <w:rsid w:val="00042E43"/>
    <w:rsid w:val="000521A2"/>
    <w:rsid w:val="00067920"/>
    <w:rsid w:val="00082FF5"/>
    <w:rsid w:val="00090ECB"/>
    <w:rsid w:val="00092C6A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E3115"/>
    <w:rsid w:val="0020458C"/>
    <w:rsid w:val="00207C04"/>
    <w:rsid w:val="0021523C"/>
    <w:rsid w:val="00215A2F"/>
    <w:rsid w:val="002A68EB"/>
    <w:rsid w:val="002B4860"/>
    <w:rsid w:val="002E50AD"/>
    <w:rsid w:val="002E60A6"/>
    <w:rsid w:val="002F18B6"/>
    <w:rsid w:val="002F3226"/>
    <w:rsid w:val="002F65A5"/>
    <w:rsid w:val="002F7B62"/>
    <w:rsid w:val="00300684"/>
    <w:rsid w:val="003130EE"/>
    <w:rsid w:val="00322153"/>
    <w:rsid w:val="00331E43"/>
    <w:rsid w:val="00361BA0"/>
    <w:rsid w:val="00395EBE"/>
    <w:rsid w:val="003A3A8A"/>
    <w:rsid w:val="004160A5"/>
    <w:rsid w:val="00484933"/>
    <w:rsid w:val="004929DA"/>
    <w:rsid w:val="004E279B"/>
    <w:rsid w:val="004E52C8"/>
    <w:rsid w:val="004E7B7B"/>
    <w:rsid w:val="004F5E3A"/>
    <w:rsid w:val="00510249"/>
    <w:rsid w:val="00511413"/>
    <w:rsid w:val="005119A6"/>
    <w:rsid w:val="00512B47"/>
    <w:rsid w:val="00530627"/>
    <w:rsid w:val="00532C98"/>
    <w:rsid w:val="005340C3"/>
    <w:rsid w:val="00541094"/>
    <w:rsid w:val="00571CE0"/>
    <w:rsid w:val="0057252E"/>
    <w:rsid w:val="00577BBB"/>
    <w:rsid w:val="005B3F55"/>
    <w:rsid w:val="005B6C00"/>
    <w:rsid w:val="00622506"/>
    <w:rsid w:val="00637B61"/>
    <w:rsid w:val="00644CB3"/>
    <w:rsid w:val="00656F71"/>
    <w:rsid w:val="006739CB"/>
    <w:rsid w:val="006744E7"/>
    <w:rsid w:val="00696CC9"/>
    <w:rsid w:val="006D494D"/>
    <w:rsid w:val="006E43ED"/>
    <w:rsid w:val="006F4392"/>
    <w:rsid w:val="006F6AE0"/>
    <w:rsid w:val="00700FCD"/>
    <w:rsid w:val="007179CD"/>
    <w:rsid w:val="007833E0"/>
    <w:rsid w:val="007D2F07"/>
    <w:rsid w:val="00803789"/>
    <w:rsid w:val="00820834"/>
    <w:rsid w:val="008302B9"/>
    <w:rsid w:val="00863564"/>
    <w:rsid w:val="00864292"/>
    <w:rsid w:val="008A472C"/>
    <w:rsid w:val="008B1299"/>
    <w:rsid w:val="008B7160"/>
    <w:rsid w:val="008E6440"/>
    <w:rsid w:val="00956AC2"/>
    <w:rsid w:val="00974839"/>
    <w:rsid w:val="009A2538"/>
    <w:rsid w:val="009B73C8"/>
    <w:rsid w:val="009D750E"/>
    <w:rsid w:val="00A22316"/>
    <w:rsid w:val="00A45D73"/>
    <w:rsid w:val="00AC13F9"/>
    <w:rsid w:val="00AD3D7C"/>
    <w:rsid w:val="00AE0B9C"/>
    <w:rsid w:val="00AE336A"/>
    <w:rsid w:val="00B152DC"/>
    <w:rsid w:val="00B855DD"/>
    <w:rsid w:val="00B92460"/>
    <w:rsid w:val="00BA4770"/>
    <w:rsid w:val="00BD35D1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66CF6"/>
    <w:rsid w:val="00D72157"/>
    <w:rsid w:val="00DA1902"/>
    <w:rsid w:val="00DA3BFE"/>
    <w:rsid w:val="00DB336A"/>
    <w:rsid w:val="00DE2A2B"/>
    <w:rsid w:val="00DF417B"/>
    <w:rsid w:val="00E031F0"/>
    <w:rsid w:val="00E11CC0"/>
    <w:rsid w:val="00E14582"/>
    <w:rsid w:val="00E90FE3"/>
    <w:rsid w:val="00E91989"/>
    <w:rsid w:val="00E92812"/>
    <w:rsid w:val="00EC0777"/>
    <w:rsid w:val="00EC4885"/>
    <w:rsid w:val="00F0416E"/>
    <w:rsid w:val="00F27095"/>
    <w:rsid w:val="00F81487"/>
    <w:rsid w:val="00F84679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9D638"/>
  <w15:docId w15:val="{CF832078-5B81-419D-9023-74E83AF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21F8-FC5D-4949-9BC7-ADE8203C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29</cp:revision>
  <cp:lastPrinted>2022-03-14T01:02:00Z</cp:lastPrinted>
  <dcterms:created xsi:type="dcterms:W3CDTF">2020-03-20T04:10:00Z</dcterms:created>
  <dcterms:modified xsi:type="dcterms:W3CDTF">2022-03-16T05:54:00Z</dcterms:modified>
</cp:coreProperties>
</file>