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 10 февраля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ind w:left="0" w:right="0" w:firstLine="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Площадь участков для туризма в Иркутской области выросла почти в 7 раз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Свободные земельные участки, которые можно использовать для ведения туристической деятельности, выявляются в Иркутской области в рамках внедрения Национальной системы пространственных данных (НСПД).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 рамках федерального проекта «Земля для туризма» в Иркутской области в 2024 году определено 34 земельных участка и территории, имеющих потенциал вовлечения в туристскую деятельность. 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 сравнении с 2023 годом площадь таких территорий увеличилась почти в семь раз.  Так, если в 2023 году площадь составляла 53 га, то в 2024 году - уже 351 га. На сегодняшний день общая площадь этих территорий составляет более 400 гектаров.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</w:t>
      </w:r>
      <w:r>
        <w:rPr>
          <w:rFonts w:ascii="PT Astra Serif" w:hAnsi="PT Astra Serif" w:cs="PT Astra Serif"/>
          <w:sz w:val="24"/>
          <w:szCs w:val="24"/>
        </w:rPr>
        <w:t xml:space="preserve"> Иркутской области расположены уникальные природные объекты, такие как озеро Байкал, горные хребты Восточного Саяна и Хамар-Дабана, а также множество исторических и культурных достопримечательностей. Всё это делает регион привлекательным для путешественник</w:t>
      </w:r>
      <w:r>
        <w:rPr>
          <w:rFonts w:ascii="PT Astra Serif" w:hAnsi="PT Astra Serif" w:cs="PT Astra Serif"/>
          <w:sz w:val="24"/>
          <w:szCs w:val="24"/>
        </w:rPr>
        <w:t xml:space="preserve">ов из разных уголков страны и мира.</w:t>
      </w:r>
      <w:r/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По словам заместителя руководителя Управления Росреестра по Иркутской области Ларисы Михайловны Варфоломеевой, к лицам, занимающимся туристической деятельностью у нас в области, зачастую возникают вопросы у право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охранительных органов, когда выясняется, что базы отдыха и кемпинги строятся на непредназначенных для этого участках. Чтобы этого не происходило, в рамках проекта «Земля для стройки» участки проходят все необходимые предварительные проверки и согласования.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Р</w:t>
      </w:r>
      <w:r>
        <w:rPr>
          <w:rFonts w:ascii="PT Astra Serif" w:hAnsi="PT Astra Serif" w:cs="PT Astra Serif"/>
          <w:sz w:val="24"/>
          <w:szCs w:val="24"/>
        </w:rPr>
        <w:t xml:space="preserve">асширение площади земельных участков и территорий, пригодных для туризма в Иркутской области, свидетельствует о росте интереса к региону со стороны туристов. Это создаёт новые возможности для развития туристической индустрии и привлечения инвестиций в  дан</w:t>
      </w:r>
      <w:r>
        <w:rPr>
          <w:rFonts w:ascii="PT Astra Serif" w:hAnsi="PT Astra Serif" w:cs="PT Astra Serif"/>
          <w:sz w:val="24"/>
          <w:szCs w:val="24"/>
        </w:rPr>
        <w:t xml:space="preserve">ную сферу.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Найти участки для ведения туристического бизнеса можно с помощью сервиса «Земля для туризма» на сайте Национальной системы пространственных данных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по ссылке: </w:t>
      </w:r>
      <w:hyperlink r:id="rId11" w:tooltip="https://nspd.gov.ru/" w:history="1">
        <w:r>
          <w:rPr>
            <w:rStyle w:val="837"/>
            <w:rFonts w:ascii="PT Astra Serif" w:hAnsi="PT Astra Serif" w:cs="PT Astra Serif"/>
            <w:sz w:val="24"/>
            <w:szCs w:val="24"/>
            <w:highlight w:val="none"/>
          </w:rPr>
          <w:t xml:space="preserve">https://nspd.gov.ru/</w:t>
        </w:r>
        <w:r>
          <w:rPr>
            <w:rStyle w:val="837"/>
            <w:rFonts w:ascii="PT Astra Serif" w:hAnsi="PT Astra Serif" w:cs="PT Astra Serif"/>
            <w:sz w:val="24"/>
            <w:szCs w:val="24"/>
            <w:highlight w:val="none"/>
          </w:rPr>
        </w:r>
        <w:r>
          <w:rPr>
            <w:rStyle w:val="837"/>
            <w:rFonts w:ascii="PT Astra Serif" w:hAnsi="PT Astra Serif" w:cs="PT Astra Serif"/>
            <w:sz w:val="24"/>
            <w:szCs w:val="24"/>
            <w:highlight w:val="none"/>
          </w:rPr>
        </w:r>
      </w:hyperlink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nspd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22</cp:revision>
  <dcterms:created xsi:type="dcterms:W3CDTF">2024-02-13T03:39:00Z</dcterms:created>
  <dcterms:modified xsi:type="dcterms:W3CDTF">2025-02-10T02:24:50Z</dcterms:modified>
</cp:coreProperties>
</file>